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114B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t>7202</w:t>
            </w:r>
          </w:p>
        </w:tc>
      </w:tr>
      <w:tr w:rsidR="00D114B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t>CENTAR ZA PRUŽANJE USLUGA U ZAJEDNICI SV. ANA VINKOVCI</w:t>
            </w:r>
          </w:p>
        </w:tc>
      </w:tr>
      <w:tr w:rsidR="00D114B9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114B9" w:rsidRDefault="007B3D82">
            <w:pPr>
              <w:spacing w:after="0" w:line="240" w:lineRule="auto"/>
            </w:pPr>
            <w:r>
              <w:t>11</w:t>
            </w:r>
          </w:p>
        </w:tc>
      </w:tr>
    </w:tbl>
    <w:p w:rsidR="00D114B9" w:rsidRDefault="007B3D82">
      <w:r>
        <w:br/>
      </w:r>
    </w:p>
    <w:p w:rsidR="00D114B9" w:rsidRDefault="007B3D8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114B9" w:rsidRDefault="007B3D8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114B9" w:rsidRDefault="007B3D82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114B9" w:rsidRDefault="00D114B9"/>
    <w:p w:rsidR="00D114B9" w:rsidRDefault="007B3D8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114B9" w:rsidRDefault="007B3D8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114B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1.706.840,66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2.036.658,58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1.665.974,31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2.037.047,91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D114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28.141,15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D114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28.141,15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34.859,04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123,9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D114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D114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35.248,37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D114B9" w:rsidRDefault="00D114B9">
      <w:pPr>
        <w:spacing w:after="0"/>
      </w:pPr>
    </w:p>
    <w:p w:rsidR="00D114B9" w:rsidRDefault="007B3D82">
      <w:r>
        <w:t>              Centar za pružanje usluga u zajednici Sv. Ana Vinkovci je ustanova čiji je osnivač Republika Hrvatska u nadležnosti Ministarstva rada, mirovinskoga sustava, obitelji i socijalne politike.</w:t>
      </w:r>
    </w:p>
    <w:p w:rsidR="00D114B9" w:rsidRDefault="007B3D82">
      <w:r>
        <w:t xml:space="preserve">Centar za pružanje usluga u zajednici Sv. Ana Vinkovci (u daljnjem tekstu: Centar Sv. Ana Vinkovci) je ustanova u kojoj se pružaju socijalne usluge korisnicima bez odgovarajuće </w:t>
      </w:r>
      <w:r>
        <w:lastRenderedPageBreak/>
        <w:t>roditeljske skrbi. Osnivač Centra Sv. Ana Vinkovci je Republika Hrvatska, a prava i dužnosti osnivača obavlja Ministarstvo rada, mirovinskog sustava, obitelji i socijalne politike. </w:t>
      </w:r>
    </w:p>
    <w:p w:rsidR="00D114B9" w:rsidRDefault="007B3D82">
      <w:r>
        <w:t xml:space="preserve">Centar Sv. Ana Vinkovci svoju djelatnost obavlja u Vinkovcima u okviru sjedišta na adresi Anina ulica 2d gdje se korisnicima pruža usluga smještaja( kapacitet je 30  za korisnika) i usluga boravka( kapacitet je za 20 korisnika). U stambenim jedinicama za pružanje usluge organiziranog stanovanja kapacitet je za 18 korisnika, a stambene su jedinice na sljedećim adresama: Ljudevita Posavskog 1A , Zvonarska 48 i J. Kozarca 2A.  U Županji se usluga boravka pruža na adresi Martina </w:t>
      </w:r>
      <w:proofErr w:type="spellStart"/>
      <w:r>
        <w:t>Robotića</w:t>
      </w:r>
      <w:proofErr w:type="spellEnd"/>
      <w:r>
        <w:t xml:space="preserve"> 9, a kapacitet za pružanje usluge boravka u Županji je 10 korisnika. </w:t>
      </w:r>
    </w:p>
    <w:p w:rsidR="00D114B9" w:rsidRDefault="007B3D82">
      <w:r>
        <w:t xml:space="preserve">          Na dan 31.12.2025. godine u ustanovi se pružala usluga smještaja za 34  korisnika. Uslugu  boravka na dan 31.12.2025. u prostorijama u Vinkovcima koristilo je 11 korisnika, dok je uslugu boravka u Županji koristilo 7 korisnika. U Stambenoj zajednici za organizirano stanovanje na adresi J. Kozarca, uz sveobuhvatnu podršku nalazilo se 8 korisnika, a na adresi u Zvonarskoj ulici je uslugu organiziranog stanovanja uz sveobuhvatnu podršku koristilo 6 korisnika, a istu uslugu uz povremenu podršku koristile su na adresi u ul. </w:t>
      </w:r>
      <w:proofErr w:type="spellStart"/>
      <w:r>
        <w:t>Lj</w:t>
      </w:r>
      <w:proofErr w:type="spellEnd"/>
      <w:r>
        <w:t>. Posavskog dvije korisnice.</w:t>
      </w:r>
    </w:p>
    <w:p w:rsidR="00D114B9" w:rsidRDefault="007B3D82">
      <w:r>
        <w:t> </w:t>
      </w:r>
    </w:p>
    <w:p w:rsidR="00D114B9" w:rsidRDefault="007B3D82">
      <w:r>
        <w:t>PRIHODI OD 01.01. DO 31. 12. 2025. GODINE IZNOSE 2.036.658,58 EUR I SASTOJE SE OD:</w:t>
      </w:r>
    </w:p>
    <w:p w:rsidR="00D114B9" w:rsidRDefault="007B3D82">
      <w:r>
        <w:t>6361 Tekuće pomoći proračunskim korisnicima iz proračuna koji im nije nadležan su prihodi od grada Vinkovci, a namijenjena za rad Likovne radionice koja djeluje u Centru Sv. Ana Vinkovci te prihodi od projekta prekogranične suradnje.</w:t>
      </w:r>
    </w:p>
    <w:p w:rsidR="00D114B9" w:rsidRDefault="007B3D82">
      <w:r>
        <w:t xml:space="preserve">6526  Ostali nespomenuti prihodi  su prihodi od participacija za smještaj  korisnika u Centar, koje smo vratili u MROSP  za daljnja plaćanja u sustavu i iznose 14.758,00 </w:t>
      </w:r>
      <w:proofErr w:type="spellStart"/>
      <w:r>
        <w:t>eur</w:t>
      </w:r>
      <w:proofErr w:type="spellEnd"/>
      <w:r>
        <w:t>, za 69,6% više u odnosu na  isto   razdoblje prethodne godine,  jer smo imali više participacija za smještaj.</w:t>
      </w:r>
    </w:p>
    <w:p w:rsidR="00D114B9" w:rsidRDefault="007B3D82">
      <w:r>
        <w:t xml:space="preserve">6615 Prihodi od  pruženih usluga  su prihodi iz izvora financiranja 31 -  vlastiti prihodi i iznose 978,72 </w:t>
      </w:r>
      <w:proofErr w:type="spellStart"/>
      <w:r>
        <w:t>eur</w:t>
      </w:r>
      <w:proofErr w:type="spellEnd"/>
      <w:r>
        <w:t xml:space="preserve"> – to su prihodi od sufinanciranje zaposlenika u prehrani, te zakupa odmarališta u Supetru Indeks iznosi 12,5 u odnosu na prošlu godinu, jer prostor u Supetru bio nije bio u najmu u 2025. godini.</w:t>
      </w:r>
    </w:p>
    <w:p w:rsidR="00D114B9" w:rsidRDefault="007B3D82">
      <w:r>
        <w:t xml:space="preserve">6631 Tekuće donacije od pravnih i fizičkih osoba  iznose 24.206,88 </w:t>
      </w:r>
      <w:proofErr w:type="spellStart"/>
      <w:r>
        <w:t>eur</w:t>
      </w:r>
      <w:proofErr w:type="spellEnd"/>
      <w:r>
        <w:t>, indeks iznosi 29,2 u odnosu na isto razdoblje prošle godine, zato  što je bilo manje uplata donacija od pravnih i fizičkih osoba.                                                                                                                                                    </w:t>
      </w:r>
    </w:p>
    <w:p w:rsidR="00D114B9" w:rsidRDefault="007B3D82">
      <w:r>
        <w:t xml:space="preserve">6711  Prihodi iz nadležnog proračuna za financiranje rashoda poslovanja  su prihodi za redovno  poslovanje ( izvor financiranja 11)  iznose 1.981.869,73 </w:t>
      </w:r>
      <w:proofErr w:type="spellStart"/>
      <w:r>
        <w:t>eur</w:t>
      </w:r>
      <w:proofErr w:type="spellEnd"/>
      <w:r>
        <w:t>, indeks iznosi 124,1 što je povećanje zbog  većeg broja zaposlenih tijekom godine, povećanja plaće, većeg broja korisnika, više lokacija kao i više pruženih usluga.</w:t>
      </w:r>
    </w:p>
    <w:p w:rsidR="00D114B9" w:rsidRDefault="007B3D82">
      <w:r>
        <w:t> </w:t>
      </w:r>
    </w:p>
    <w:p w:rsidR="00D114B9" w:rsidRDefault="007B3D82">
      <w:r>
        <w:t> </w:t>
      </w:r>
    </w:p>
    <w:p w:rsidR="00D114B9" w:rsidRDefault="007B3D82">
      <w:r>
        <w:lastRenderedPageBreak/>
        <w:t>RASHODI OD 01. 01. DO 31. 12. 2025. GODINE  IZNOSE 1.665.974,31 EUR I SASTOJE SE OD:</w:t>
      </w:r>
    </w:p>
    <w:p w:rsidR="00D114B9" w:rsidRDefault="007B3D82">
      <w:r>
        <w:t xml:space="preserve">31  Rashodi za zaposlene  - 1.527.057,04 </w:t>
      </w:r>
      <w:proofErr w:type="spellStart"/>
      <w:r>
        <w:t>eur</w:t>
      </w:r>
      <w:proofErr w:type="spellEnd"/>
      <w:r>
        <w:t>, indeks  iznosi 21,0 u odnosu na isto razdoblje 2024. godine, što je za 21% više jer se tijekom godine povećavao broj novih djelatnika, a u 2025. godini je došlo i do povećanja plaća.</w:t>
      </w:r>
    </w:p>
    <w:p w:rsidR="00D114B9" w:rsidRDefault="007B3D82">
      <w:r>
        <w:t xml:space="preserve">32  Materijalni rashodi 441.303,11 </w:t>
      </w:r>
      <w:proofErr w:type="spellStart"/>
      <w:r>
        <w:t>eur</w:t>
      </w:r>
      <w:proofErr w:type="spellEnd"/>
      <w:r>
        <w:t xml:space="preserve"> - indeks iznosi 22,5 u odnosu na isto razdoblje 2024. godine,  zbog povećanja broja korisnika te povećanja lokacija.</w:t>
      </w:r>
    </w:p>
    <w:p w:rsidR="00D114B9" w:rsidRDefault="007B3D82">
      <w:r>
        <w:t>3211 Službena putovanja – povećanje od 3,1%, zbog više isplaćenih dnevnica i više seminara.</w:t>
      </w:r>
    </w:p>
    <w:p w:rsidR="00D114B9" w:rsidRDefault="007B3D82">
      <w:r>
        <w:t>3221 Uredski materijal i ostali materijalni rashodi indeks je  94,6, što je 5,4% manje u odnosu na izvještajno razdoblje prošle godine.</w:t>
      </w:r>
    </w:p>
    <w:p w:rsidR="00D114B9" w:rsidRDefault="007B3D82">
      <w:r>
        <w:t>3225 Sitan inventar i auto gume indeks je za 27,2% manji u odnosu na 2024. godinu, zato što smo ove godine imali manje nabave sitnog inventara nego prethodne godine.</w:t>
      </w:r>
    </w:p>
    <w:p w:rsidR="00D114B9" w:rsidRDefault="007B3D82">
      <w:r>
        <w:t>3223 Energija – je za 2,9% više u odnosu na prošlo izvještajno razdoblje.</w:t>
      </w:r>
    </w:p>
    <w:p w:rsidR="00D114B9" w:rsidRDefault="007B3D82">
      <w:r>
        <w:t>3227 Službena, radna i zaštitna odjeća i obuća – povećanje za 8,6% zbog većeg broja djelatnika kojima smo kupili radnu odjeću i obuću.</w:t>
      </w:r>
    </w:p>
    <w:p w:rsidR="00D114B9" w:rsidRDefault="007B3D82">
      <w:r>
        <w:t>3232 Usluge tekućeg i investicijskog održavanja indeks iznosi  za 347,9. Do povećanja je došlo zbog radova obnove zgrade Centra. </w:t>
      </w:r>
    </w:p>
    <w:p w:rsidR="00D114B9" w:rsidRDefault="007B3D82">
      <w:r>
        <w:t>3239 ostale usluge indeks je 88,3, što je za 11,7% manje nego prethodne godine.</w:t>
      </w:r>
    </w:p>
    <w:p w:rsidR="00D114B9" w:rsidRDefault="007B3D82">
      <w:r>
        <w:t>3291 Naknade za rad predstavničkih i izvršnih tijela, povjerenstava i slično indeks iznosi 87,0 jer smo imali manje održanih sjednica Upravnog vijeća, pa tako i manje isplata za Upravno vijeće.</w:t>
      </w:r>
    </w:p>
    <w:p w:rsidR="00D114B9" w:rsidRDefault="007B3D82">
      <w:r>
        <w:t>3292 Premije osiguranja povećanje od 158,1% zbog povećanja cijene za auto osiguranje, te povećanja broja vozila.</w:t>
      </w:r>
    </w:p>
    <w:p w:rsidR="00D114B9" w:rsidRDefault="007B3D82">
      <w:r>
        <w:t>3299 Ostali nespomenuti rashodi poslovanja  povećanje od 145,3 % u 2025. godini zbog povećanja ostalih rashoda, a od toga najveći dio se odnosi na puno natječaja koje smo morali objaviti u Narodnim novinama.          </w:t>
      </w:r>
    </w:p>
    <w:p w:rsidR="00D114B9" w:rsidRDefault="007B3D82">
      <w:r>
        <w:t>34  Financijski rashodi indeks iznosi 120,1. što je povećanje u odnosu na isto razdoblje 2024. godine, jer je bilo nešto više prometa novca preko žiro-računa u 2025. godini.</w:t>
      </w:r>
    </w:p>
    <w:p w:rsidR="00D114B9" w:rsidRDefault="007B3D82">
      <w:r>
        <w:t> </w:t>
      </w:r>
    </w:p>
    <w:p w:rsidR="00D114B9" w:rsidRDefault="007B3D82">
      <w:r>
        <w:br/>
      </w:r>
    </w:p>
    <w:p w:rsidR="00D114B9" w:rsidRDefault="007B3D8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114B9" w:rsidRDefault="007B3D8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114B9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114B9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D114B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114B9" w:rsidRDefault="007B3D8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114B9" w:rsidRDefault="00D114B9">
      <w:pPr>
        <w:spacing w:after="0"/>
      </w:pPr>
    </w:p>
    <w:p w:rsidR="00D114B9" w:rsidRDefault="007B3D82">
      <w:r>
        <w:t>Dospjelih obveza nije bilo.</w:t>
      </w:r>
    </w:p>
    <w:p w:rsidR="00D114B9" w:rsidRDefault="00D114B9"/>
    <w:p w:rsidR="00472A42" w:rsidRDefault="00472A42"/>
    <w:p w:rsidR="00472A42" w:rsidRDefault="00472A42"/>
    <w:p w:rsidR="00472A42" w:rsidRPr="00472A42" w:rsidRDefault="00472A42" w:rsidP="00472A42">
      <w:pPr>
        <w:spacing w:after="0" w:line="240" w:lineRule="auto"/>
        <w:jc w:val="both"/>
        <w:rPr>
          <w:b/>
          <w:szCs w:val="24"/>
        </w:rPr>
      </w:pPr>
      <w:r w:rsidRPr="00472A42">
        <w:rPr>
          <w:szCs w:val="24"/>
        </w:rPr>
        <w:t xml:space="preserve">                                                                                               </w:t>
      </w:r>
      <w:r w:rsidRPr="00472A42">
        <w:rPr>
          <w:b/>
          <w:szCs w:val="24"/>
        </w:rPr>
        <w:t>RAVNATELJICA</w:t>
      </w:r>
    </w:p>
    <w:p w:rsidR="00472A42" w:rsidRPr="00472A42" w:rsidRDefault="00472A42" w:rsidP="00472A42">
      <w:pPr>
        <w:spacing w:after="0" w:line="240" w:lineRule="auto"/>
        <w:jc w:val="both"/>
        <w:rPr>
          <w:szCs w:val="24"/>
        </w:rPr>
      </w:pPr>
      <w:r w:rsidRPr="00472A42">
        <w:rPr>
          <w:szCs w:val="24"/>
        </w:rPr>
        <w:t xml:space="preserve">                                                                                               </w:t>
      </w:r>
      <w:r>
        <w:rPr>
          <w:szCs w:val="24"/>
        </w:rPr>
        <w:t xml:space="preserve"> </w:t>
      </w:r>
      <w:bookmarkStart w:id="0" w:name="_GoBack"/>
      <w:bookmarkEnd w:id="0"/>
      <w:r w:rsidRPr="00472A42">
        <w:rPr>
          <w:szCs w:val="24"/>
        </w:rPr>
        <w:t>Zrinka Mikić, prof.</w:t>
      </w:r>
    </w:p>
    <w:p w:rsidR="00472A42" w:rsidRDefault="00472A42"/>
    <w:sectPr w:rsidR="004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B9"/>
    <w:rsid w:val="00472A42"/>
    <w:rsid w:val="007B3D82"/>
    <w:rsid w:val="00D1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825C"/>
  <w15:docId w15:val="{7DBD8A97-123F-47A2-B16B-FB9164C9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Lovretić</dc:creator>
  <cp:lastModifiedBy>Marina Lovretić</cp:lastModifiedBy>
  <cp:revision>3</cp:revision>
  <dcterms:created xsi:type="dcterms:W3CDTF">2026-02-20T09:59:00Z</dcterms:created>
  <dcterms:modified xsi:type="dcterms:W3CDTF">2026-02-20T10:01:00Z</dcterms:modified>
</cp:coreProperties>
</file>